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z w:val="16"/>
        </w:rPr>
      </w:pPr>
      <w:r>
        <w:rPr>
          <w:sz w:val="16"/>
        </w:rPr>
      </w:r>
    </w:p>
    <w:p>
      <w:pPr>
        <w:pStyle w:val="Normal"/>
        <w:jc w:val="right"/>
        <w:rPr/>
      </w:pPr>
      <w:r>
        <w:rPr>
          <w:color w:val="000000"/>
          <w:highlight w:val="white"/>
        </w:rPr>
        <w:t>Приложение №</w:t>
      </w:r>
      <w:r>
        <w:rPr>
          <w:color w:val="000000"/>
          <w:highlight w:val="white"/>
        </w:rPr>
        <w:t>3</w:t>
      </w:r>
    </w:p>
    <w:p>
      <w:pPr>
        <w:pStyle w:val="Normal"/>
        <w:rPr>
          <w:sz w:val="16"/>
        </w:rPr>
      </w:pPr>
      <w:r>
        <w:rPr>
          <w:sz w:val="16"/>
        </w:rPr>
      </w:r>
    </w:p>
    <w:p>
      <w:pPr>
        <w:pStyle w:val="Normal"/>
        <w:jc w:val="right"/>
        <w:rPr>
          <w:sz w:val="20"/>
        </w:rPr>
      </w:pPr>
      <w:r>
        <w:rPr>
          <w:sz w:val="20"/>
        </w:rPr>
        <w:t>рп. Шексна</w:t>
        <w:tab/>
        <w:tab/>
        <w:tab/>
        <w:tab/>
        <w:tab/>
        <w:tab/>
        <w:tab/>
        <w:tab/>
        <w:tab/>
        <w:t>              «_____»______________ 2025 г.</w:t>
      </w:r>
    </w:p>
    <w:p>
      <w:pPr>
        <w:pStyle w:val="Normal"/>
        <w:rPr>
          <w:b/>
          <w:sz w:val="18"/>
        </w:rPr>
      </w:pPr>
      <w:r>
        <w:rPr>
          <w:b/>
          <w:sz w:val="18"/>
        </w:rPr>
      </w:r>
    </w:p>
    <w:p>
      <w:pPr>
        <w:pStyle w:val="Normal"/>
        <w:jc w:val="center"/>
        <w:rPr>
          <w:b/>
        </w:rPr>
      </w:pPr>
      <w:r>
        <w:rPr>
          <w:b/>
        </w:rPr>
        <w:t>АКТ</w:t>
      </w:r>
    </w:p>
    <w:p>
      <w:pPr>
        <w:pStyle w:val="Normal"/>
        <w:jc w:val="center"/>
        <w:rPr>
          <w:b/>
        </w:rPr>
      </w:pPr>
      <w:r>
        <w:rPr>
          <w:b/>
        </w:rPr>
        <w:t>проверки (осмотра) запорной арматуры и арматуры постоянного регулирования</w:t>
      </w:r>
    </w:p>
    <w:p>
      <w:pPr>
        <w:pStyle w:val="Normal"/>
        <w:jc w:val="center"/>
        <w:rPr>
          <w:b/>
          <w:sz w:val="22"/>
        </w:rPr>
      </w:pPr>
      <w:r>
        <w:rPr>
          <w:b/>
          <w:sz w:val="22"/>
        </w:rPr>
      </w:r>
    </w:p>
    <w:p>
      <w:pPr>
        <w:pStyle w:val="Normal"/>
        <w:jc w:val="center"/>
        <w:rPr>
          <w:sz w:val="16"/>
        </w:rPr>
      </w:pPr>
      <w:r>
        <w:rPr>
          <w:sz w:val="16"/>
        </w:rPr>
      </w:r>
    </w:p>
    <w:p>
      <w:pPr>
        <w:pStyle w:val="Normal"/>
        <w:jc w:val="both"/>
        <w:rPr>
          <w:sz w:val="20"/>
        </w:rPr>
      </w:pPr>
      <w:r>
        <w:rPr>
          <w:sz w:val="22"/>
        </w:rPr>
        <w:t>Объект</w:t>
        <w:tab/>
      </w:r>
      <w:r>
        <w:rPr>
          <w:sz w:val="22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>   </w:t>
      </w:r>
    </w:p>
    <w:p>
      <w:pPr>
        <w:pStyle w:val="Normal"/>
        <w:jc w:val="center"/>
        <w:rPr>
          <w:sz w:val="10"/>
        </w:rPr>
      </w:pPr>
      <w:r>
        <w:rPr>
          <w:sz w:val="10"/>
        </w:rPr>
        <w:t>(адрес, № договора)</w:t>
      </w:r>
    </w:p>
    <w:p>
      <w:pPr>
        <w:pStyle w:val="Normal"/>
        <w:jc w:val="both"/>
        <w:rPr>
          <w:sz w:val="20"/>
          <w:u w:val="single"/>
        </w:rPr>
      </w:pPr>
      <w:r>
        <w:rPr>
          <w:sz w:val="22"/>
        </w:rPr>
        <w:t>Мы, нижеподписавшиеся, представитель Потребителя</w:t>
      </w:r>
      <w:r>
        <w:rPr>
          <w:sz w:val="22"/>
          <w:u w:val="single"/>
        </w:rPr>
        <w:tab/>
        <w:tab/>
        <w:tab/>
        <w:tab/>
        <w:tab/>
        <w:tab/>
        <w:tab/>
        <w:tab/>
        <w:t>   </w:t>
      </w:r>
    </w:p>
    <w:p>
      <w:pPr>
        <w:pStyle w:val="Normal"/>
        <w:rPr>
          <w:sz w:val="10"/>
        </w:rPr>
      </w:pPr>
      <w:r>
        <w:rPr>
          <w:sz w:val="14"/>
        </w:rPr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sz w:val="10"/>
        </w:rPr>
        <w:t>( ФИО, должность, обслуживающая организация)</w:t>
      </w:r>
    </w:p>
    <w:p>
      <w:pPr>
        <w:pStyle w:val="Normal"/>
        <w:jc w:val="both"/>
        <w:rPr>
          <w:sz w:val="20"/>
          <w:u w:val="single"/>
        </w:rPr>
      </w:pPr>
      <w:r>
        <w:rPr>
          <w:sz w:val="20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>   </w:t>
      </w:r>
    </w:p>
    <w:p>
      <w:pPr>
        <w:pStyle w:val="Normal"/>
        <w:rPr>
          <w:sz w:val="10"/>
        </w:rPr>
      </w:pPr>
      <w:r>
        <w:rPr>
          <w:sz w:val="14"/>
        </w:rPr>
        <w:t xml:space="preserve">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jc w:val="both"/>
        <w:rPr>
          <w:sz w:val="22"/>
          <w:u w:val="single"/>
        </w:rPr>
      </w:pPr>
      <w:r>
        <w:rPr>
          <w:sz w:val="22"/>
        </w:rPr>
        <w:t>Представитель АО «Шексна-Теплосеть»</w:t>
      </w:r>
      <w:r>
        <w:rPr>
          <w:sz w:val="22"/>
          <w:u w:val="single"/>
        </w:rPr>
        <w:t xml:space="preserve">                                            </w:t>
        <w:tab/>
        <w:tab/>
        <w:tab/>
        <w:tab/>
        <w:tab/>
        <w:tab/>
        <w:tab/>
        <w:t>   </w:t>
      </w:r>
    </w:p>
    <w:p>
      <w:pPr>
        <w:pStyle w:val="Normal"/>
        <w:rPr>
          <w:sz w:val="10"/>
        </w:rPr>
      </w:pPr>
      <w:r>
        <w:rPr>
          <w:sz w:val="14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sz w:val="10"/>
        </w:rPr>
        <w:t>(ФИО. должность)</w:t>
      </w:r>
    </w:p>
    <w:p>
      <w:pPr>
        <w:pStyle w:val="Normal"/>
        <w:jc w:val="both"/>
        <w:rPr/>
      </w:pPr>
      <w:r>
        <w:rPr>
          <w:sz w:val="22"/>
        </w:rPr>
        <w:t xml:space="preserve">составили настоящий акт о том, что </w:t>
      </w:r>
      <w:r>
        <w:rPr/>
        <w:t>проведена проверка (осмотр) запорной арматуры, в том числе в высших (воздушники) и низших точках трубопровода (спускники):</w:t>
      </w:r>
    </w:p>
    <w:p>
      <w:pPr>
        <w:pStyle w:val="ConsPlusNonformat1"/>
        <w:widowControl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ConsPlusNonformat1"/>
        <w:widowControl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Запорная арматура</w:t>
      </w:r>
    </w:p>
    <w:tbl>
      <w:tblPr>
        <w:tblStyle w:val="Style_2"/>
        <w:tblW w:w="9560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9032"/>
      </w:tblGrid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в наличии, работоспособна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не работоспособна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установлена не в полном объеме</w:t>
            </w:r>
          </w:p>
        </w:tc>
      </w:tr>
      <w:tr>
        <w:trPr>
          <w:trHeight w:val="113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отсутствует</w:t>
            </w:r>
          </w:p>
        </w:tc>
      </w:tr>
      <w:tr>
        <w:trPr>
          <w:trHeight w:val="112" w:hRule="atLeast"/>
        </w:trPr>
        <w:tc>
          <w:tcPr>
            <w:tcW w:w="9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Примечание:__________________________________________________________________</w:t>
            </w:r>
          </w:p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___________________________________________________________________________</w:t>
            </w:r>
          </w:p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</w:tr>
    </w:tbl>
    <w:p>
      <w:pPr>
        <w:pStyle w:val="ConsPlusNonformat1"/>
        <w:widowControl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ConsPlusNonformat1"/>
        <w:widowControl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Регулирующая арматура</w:t>
      </w:r>
    </w:p>
    <w:tbl>
      <w:tblPr>
        <w:tblStyle w:val="Style_2"/>
        <w:tblW w:w="9560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9032"/>
      </w:tblGrid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в наличии, работоспособна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не работоспособна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установлена не в полном объеме</w:t>
            </w:r>
          </w:p>
        </w:tc>
      </w:tr>
      <w:tr>
        <w:trPr>
          <w:trHeight w:val="113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отсутствует</w:t>
            </w:r>
          </w:p>
        </w:tc>
      </w:tr>
      <w:tr>
        <w:trPr>
          <w:trHeight w:val="112" w:hRule="atLeast"/>
        </w:trPr>
        <w:tc>
          <w:tcPr>
            <w:tcW w:w="9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Примечание:__________________________________________________________________</w:t>
            </w:r>
          </w:p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___________________________________________________________________________</w:t>
            </w:r>
          </w:p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</w:tr>
    </w:tbl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  <w:t>Замечания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rPr>
          <w:sz w:val="22"/>
        </w:rPr>
      </w:pPr>
      <w:r>
        <w:rPr>
          <w:sz w:val="22"/>
        </w:rPr>
        <w:t>Устранить до:____________________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jc w:val="both"/>
        <w:rPr/>
      </w:pPr>
      <w:r>
        <w:rPr>
          <w:b/>
        </w:rPr>
        <w:t>Вывод</w:t>
      </w:r>
      <w:r>
        <w:rPr/>
        <w:t>:</w:t>
      </w:r>
      <w:r>
        <w:rPr>
          <w:sz w:val="22"/>
        </w:rPr>
        <w:t xml:space="preserve"> </w:t>
      </w:r>
      <w:r>
        <w:rPr>
          <w:b/>
          <w:sz w:val="22"/>
        </w:rPr>
        <w:t>значение показателя наличия акта проверки (осмотра) запорной арматуры и арматуры постоянного регулирования Карм =</w:t>
      </w:r>
      <w:r>
        <w:rPr>
          <w:sz w:val="22"/>
        </w:rPr>
        <w:t xml:space="preserve">_____ </w:t>
      </w:r>
      <w:r>
        <w:rPr/>
        <w:t>(в случае выполнения работ и при отсутствии замечаний - значение показателя принимается равным «1», в случае наличия не снятых замечаний - значение показателя принимается равным «0»)</w:t>
      </w:r>
    </w:p>
    <w:p>
      <w:pPr>
        <w:pStyle w:val="Normal"/>
        <w:jc w:val="both"/>
        <w:rPr>
          <w:b/>
          <w:sz w:val="22"/>
        </w:rPr>
      </w:pPr>
      <w:r>
        <w:rPr>
          <w:b/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  <w:u w:val="single"/>
        </w:rPr>
      </w:pPr>
      <w:r>
        <w:rPr>
          <w:sz w:val="22"/>
        </w:rPr>
        <w:t xml:space="preserve">Представитель Потребителя </w:t>
      </w:r>
      <w:r>
        <w:rPr>
          <w:sz w:val="22"/>
          <w:u w:val="single"/>
        </w:rPr>
        <w:tab/>
        <w:tab/>
        <w:tab/>
        <w:tab/>
        <w:tab/>
        <w:tab/>
        <w:tab/>
        <w:tab/>
        <w:t>/</w:t>
        <w:tab/>
        <w:tab/>
        <w:tab/>
        <w:t>  /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  <w:t>Представитель АО «Шексна-Теплосеть»</w:t>
      </w:r>
      <w:r>
        <w:rPr>
          <w:sz w:val="22"/>
          <w:u w:val="single"/>
        </w:rPr>
        <w:t xml:space="preserve">                                            </w:t>
        <w:tab/>
        <w:tab/>
        <w:tab/>
        <w:t>/</w:t>
        <w:tab/>
        <w:tab/>
        <w:tab/>
        <w:t>  /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709" w:right="566" w:gutter="0" w:header="0" w:top="284" w:footer="0" w:bottom="41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XO Thames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88"/>
  <w:defaultTabStop w:val="697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color w:val="000000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5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End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NSimSun" w:cs="Arial"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1">
    <w:name w:val="Heading 1"/>
    <w:basedOn w:val="Normal"/>
    <w:next w:val="Normal"/>
    <w:uiPriority w:val="9"/>
    <w:qFormat/>
    <w:pPr>
      <w:keepNext w:val="true"/>
      <w:jc w:val="center"/>
      <w:outlineLvl w:val="0"/>
    </w:pPr>
    <w:rPr>
      <w:sz w:val="32"/>
    </w:rPr>
  </w:style>
  <w:style w:type="paragraph" w:styleId="Heading2">
    <w:name w:val="Heading 2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1"/>
    </w:pPr>
    <w:rPr>
      <w:rFonts w:ascii="XO Thames" w:hAnsi="XO Thames" w:eastAsia="NSimSun" w:cs="Arial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">
    <w:name w:val="Heading 3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2"/>
    </w:pPr>
    <w:rPr>
      <w:rFonts w:ascii="XO Thames" w:hAnsi="XO Thames" w:eastAsia="NSimSun" w:cs="Arial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Heading4">
    <w:name w:val="Heading 4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3"/>
    </w:pPr>
    <w:rPr>
      <w:rFonts w:ascii="XO Thames" w:hAnsi="XO Thames" w:eastAsia="NSimSun" w:cs="Arial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4"/>
    </w:pPr>
    <w:rPr>
      <w:rFonts w:ascii="XO Thames" w:hAnsi="XO Thames" w:eastAsia="NSimSun" w:cs="Arial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Footer1">
    <w:name w:val="Footer1"/>
    <w:qFormat/>
    <w:rPr>
      <w:sz w:val="20"/>
    </w:rPr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BalloonText">
    <w:name w:val="Balloon Text"/>
    <w:link w:val="BalloonText1"/>
    <w:qFormat/>
    <w:rPr>
      <w:rFonts w:ascii="Tahoma" w:hAnsi="Tahoma"/>
      <w:sz w:val="16"/>
    </w:rPr>
  </w:style>
  <w:style w:type="character" w:styleId="Endnote">
    <w:name w:val="Endnote"/>
    <w:link w:val="Endnote1"/>
    <w:qFormat/>
    <w:rPr>
      <w:rFonts w:ascii="XO Thames" w:hAnsi="XO Thames"/>
      <w:sz w:val="22"/>
    </w:rPr>
  </w:style>
  <w:style w:type="character" w:styleId="Heading31">
    <w:name w:val="Heading 31"/>
    <w:qFormat/>
    <w:rPr>
      <w:rFonts w:ascii="XO Thames" w:hAnsi="XO Thames"/>
      <w:b/>
      <w:sz w:val="26"/>
    </w:rPr>
  </w:style>
  <w:style w:type="character" w:styleId="BodyText2">
    <w:name w:val="Body Text 2"/>
    <w:link w:val="BodyText21"/>
    <w:qFormat/>
    <w:rPr>
      <w:sz w:val="26"/>
    </w:rPr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Heading51">
    <w:name w:val="Heading 51"/>
    <w:qFormat/>
    <w:rPr>
      <w:rFonts w:ascii="XO Thames" w:hAnsi="XO Thames"/>
      <w:b/>
      <w:sz w:val="22"/>
    </w:rPr>
  </w:style>
  <w:style w:type="character" w:styleId="Heading11">
    <w:name w:val="Heading 11"/>
    <w:qFormat/>
    <w:rPr>
      <w:sz w:val="32"/>
    </w:rPr>
  </w:style>
  <w:style w:type="character" w:styleId="InternetLink">
    <w:name w:val="Internet Link"/>
    <w:link w:val="InternetLink1"/>
    <w:qFormat/>
    <w:rPr>
      <w:color w:val="0000FF"/>
      <w:u w:val="single"/>
    </w:rPr>
  </w:style>
  <w:style w:type="character" w:styleId="Footnote">
    <w:name w:val="Footnote"/>
    <w:link w:val="Footnote1"/>
    <w:qFormat/>
    <w:rPr>
      <w:rFonts w:ascii="XO Thames" w:hAnsi="XO Thames"/>
      <w:sz w:val="22"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HeaderandFooter">
    <w:name w:val="Header and Footer"/>
    <w:qFormat/>
    <w:rPr>
      <w:rFonts w:ascii="XO Thames" w:hAnsi="XO Thames"/>
      <w:sz w:val="28"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ConsPlusNonformat">
    <w:name w:val="ConsPlusNonformat"/>
    <w:link w:val="ConsPlusNonformat1"/>
    <w:qFormat/>
    <w:rPr>
      <w:rFonts w:ascii="Courier New" w:hAnsi="Courier New"/>
    </w:rPr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DefaultParagraphFont">
    <w:name w:val="Default Paragraph Font"/>
    <w:link w:val="DefaultParagraphFont1"/>
    <w:qFormat/>
    <w:rPr/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Subtitle1">
    <w:name w:val="Subtitle1"/>
    <w:qFormat/>
    <w:rPr>
      <w:rFonts w:ascii="XO Thames" w:hAnsi="XO Thames"/>
      <w:i/>
      <w:sz w:val="24"/>
    </w:rPr>
  </w:style>
  <w:style w:type="character" w:styleId="Title1">
    <w:name w:val="Title1"/>
    <w:qFormat/>
    <w:rPr>
      <w:rFonts w:ascii="XO Thames" w:hAnsi="XO Thames"/>
      <w:b/>
      <w:caps/>
      <w:sz w:val="40"/>
    </w:rPr>
  </w:style>
  <w:style w:type="character" w:styleId="Heading41">
    <w:name w:val="Heading 41"/>
    <w:qFormat/>
    <w:rPr>
      <w:rFonts w:ascii="XO Thames" w:hAnsi="XO Thames"/>
      <w:b/>
      <w:sz w:val="24"/>
    </w:rPr>
  </w:style>
  <w:style w:type="character" w:styleId="Heading21">
    <w:name w:val="Heading 21"/>
    <w:qFormat/>
    <w:rPr>
      <w:rFonts w:ascii="XO Thames" w:hAnsi="XO Thames"/>
      <w:b/>
      <w:sz w:val="28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"/>
    </w:rPr>
  </w:style>
  <w:style w:type="paragraph" w:styleId="Style11">
    <w:name w:val="Колонтитул"/>
    <w:qFormat/>
    <w:pPr>
      <w:widowControl/>
      <w:suppressAutoHyphens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Footer">
    <w:name w:val="Footer"/>
    <w:basedOn w:val="Normal"/>
    <w:pPr>
      <w:tabs>
        <w:tab w:val="clear" w:pos="697"/>
        <w:tab w:val="center" w:pos="4677" w:leader="none"/>
        <w:tab w:val="right" w:pos="9355" w:leader="none"/>
      </w:tabs>
    </w:pPr>
    <w:rPr>
      <w:sz w:val="20"/>
    </w:rPr>
  </w:style>
  <w:style w:type="paragraph" w:styleId="TOC2">
    <w:name w:val="TOC 2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2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4">
    <w:name w:val="TOC 4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6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6">
    <w:name w:val="TOC 6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0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7">
    <w:name w:val="TOC 7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2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BalloonText1">
    <w:name w:val="Balloon Text1"/>
    <w:basedOn w:val="Normal"/>
    <w:link w:val="BalloonText"/>
    <w:qFormat/>
    <w:pPr/>
    <w:rPr>
      <w:rFonts w:ascii="Tahoma" w:hAnsi="Tahoma"/>
      <w:sz w:val="16"/>
    </w:rPr>
  </w:style>
  <w:style w:type="paragraph" w:styleId="Endnote1">
    <w:name w:val="Endnote1"/>
    <w:link w:val="Endnote"/>
    <w:qFormat/>
    <w:pPr>
      <w:widowControl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NSimSun" w:cs="Arial"/>
      <w:color w:val="000000"/>
      <w:spacing w:val="0"/>
      <w:kern w:val="0"/>
      <w:sz w:val="22"/>
      <w:szCs w:val="20"/>
      <w:lang w:val="ru-RU" w:eastAsia="zh-CN" w:bidi="hi-IN"/>
    </w:rPr>
  </w:style>
  <w:style w:type="paragraph" w:styleId="BodyText21">
    <w:name w:val="Body Text 21"/>
    <w:basedOn w:val="Normal"/>
    <w:link w:val="BodyText2"/>
    <w:qFormat/>
    <w:pPr/>
    <w:rPr>
      <w:sz w:val="26"/>
    </w:rPr>
  </w:style>
  <w:style w:type="paragraph" w:styleId="TOC3">
    <w:name w:val="TOC 3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4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InternetLink1">
    <w:name w:val="Internet Link1"/>
    <w:link w:val="InternetLink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NSimSun" w:cs="Arial"/>
      <w:color w:val="0000FF"/>
      <w:spacing w:val="0"/>
      <w:kern w:val="0"/>
      <w:sz w:val="20"/>
      <w:szCs w:val="20"/>
      <w:u w:val="single"/>
      <w:lang w:val="ru-RU" w:eastAsia="zh-CN" w:bidi="hi-IN"/>
    </w:rPr>
  </w:style>
  <w:style w:type="paragraph" w:styleId="Footnote1">
    <w:name w:val="Footnote1"/>
    <w:link w:val="Footnote"/>
    <w:qFormat/>
    <w:pPr>
      <w:widowControl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NSimSun" w:cs="Arial"/>
      <w:color w:val="000000"/>
      <w:spacing w:val="0"/>
      <w:kern w:val="0"/>
      <w:sz w:val="22"/>
      <w:szCs w:val="20"/>
      <w:lang w:val="ru-RU" w:eastAsia="zh-CN" w:bidi="hi-IN"/>
    </w:rPr>
  </w:style>
  <w:style w:type="paragraph" w:styleId="TOC1">
    <w:name w:val="TOC 1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NSimSun" w:cs="Arial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TOC9">
    <w:name w:val="TOC 9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6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ConsPlusNonformat1">
    <w:name w:val="ConsPlusNonformat1"/>
    <w:link w:val="ConsPlusNonformat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Courier New" w:hAnsi="Courier New" w:eastAsia="NSimSun" w:cs="Arial"/>
      <w:color w:val="000000"/>
      <w:spacing w:val="0"/>
      <w:kern w:val="0"/>
      <w:sz w:val="20"/>
      <w:szCs w:val="20"/>
      <w:lang w:val="ru-RU" w:eastAsia="zh-CN" w:bidi="hi-IN"/>
    </w:rPr>
  </w:style>
  <w:style w:type="paragraph" w:styleId="TOC8">
    <w:name w:val="TOC 8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4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DefaultParagraphFont1">
    <w:name w:val="Default Paragraph Font1"/>
    <w:link w:val="DefaultParagraphFont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NSimSun" w:cs="Arial"/>
      <w:color w:val="000000"/>
      <w:spacing w:val="0"/>
      <w:kern w:val="0"/>
      <w:sz w:val="20"/>
      <w:szCs w:val="20"/>
      <w:lang w:val="ru-RU" w:eastAsia="zh-CN" w:bidi="hi-IN"/>
    </w:rPr>
  </w:style>
  <w:style w:type="paragraph" w:styleId="TOC5">
    <w:name w:val="TOC 5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8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Subtitle">
    <w:name w:val="Subtitle"/>
    <w:next w:val="Normal"/>
    <w:uiPriority w:val="11"/>
    <w:qFormat/>
    <w:pPr>
      <w:widowControl/>
      <w:suppressAutoHyphens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NSimSun" w:cs="Arial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Title">
    <w:name w:val="Title"/>
    <w:next w:val="Normal"/>
    <w:uiPriority w:val="10"/>
    <w:qFormat/>
    <w:pPr>
      <w:widowControl/>
      <w:suppressAutoHyphens w:val="true"/>
      <w:bidi w:val="0"/>
      <w:spacing w:lineRule="auto" w:line="240" w:before="567" w:after="567"/>
      <w:ind w:hanging="0" w:left="0" w:right="0"/>
      <w:jc w:val="center"/>
    </w:pPr>
    <w:rPr>
      <w:rFonts w:ascii="XO Thames" w:hAnsi="XO Thames" w:eastAsia="NSimSun" w:cs="Arial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table" w:styleId="Style_28">
    <w:name w:val="Table Grid"/>
    <w:basedOn w:val="Style_2"/>
    <w:rPr>
      <w:sz w:val="22"/>
    </w:rPr>
    <w:tblPr>
      <w:tblBorders>
        <w:top w:val="single" w:color="000000" w:sz="4"/>
        <w:left w:val="single" w:color="000000" w:sz="4"/>
        <w:bottom w:val="single" w:color="000000" w:sz="4"/>
        <w:right w:val="single" w:color="000000" w:sz="4"/>
        <w:insideH w:val="single" w:color="000000" w:sz="4"/>
        <w:insideV w:val="single" w:color="000000" w:sz="4"/>
      </w:tblBorders>
    </w:tblPr>
  </w:style>
  <w:style w:type="table" w:default="1" w:styleId="Style_2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 l="0" t="0" r="0" b="0"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LibreOffice/24.2.4.2$Windows_X86_64 LibreOffice_project/51a6219feb6075d9a4c46691dcfe0cd9c4fff3c2</Application>
  <AppVersion>15.0000</AppVersion>
  <Pages>1</Pages>
  <Words>139</Words>
  <Characters>1647</Characters>
  <CharactersWithSpaces>2489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2025-04-07T11:42:28Z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